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19780">
      <w:pPr>
        <w:spacing w:before="108" w:line="224" w:lineRule="auto"/>
        <w:rPr>
          <w:rFonts w:hint="eastAsia" w:ascii="CESI黑体-GB2312" w:hAnsi="CESI黑体-GB2312" w:eastAsia="CESI黑体-GB2312" w:cs="CESI黑体-GB2312"/>
          <w:b w:val="0"/>
          <w:bCs w:val="0"/>
          <w:spacing w:val="0"/>
          <w:sz w:val="32"/>
          <w:szCs w:val="32"/>
          <w:lang w:eastAsia="zh-CN"/>
        </w:rPr>
      </w:pPr>
      <w:r>
        <w:rPr>
          <w:rFonts w:hint="eastAsia" w:ascii="CESI黑体-GB2312" w:hAnsi="CESI黑体-GB2312" w:eastAsia="CESI黑体-GB2312" w:cs="CESI黑体-GB2312"/>
          <w:b w:val="0"/>
          <w:bCs w:val="0"/>
          <w:spacing w:val="0"/>
          <w:sz w:val="32"/>
          <w:szCs w:val="32"/>
        </w:rPr>
        <w:t>附件</w:t>
      </w:r>
      <w:r>
        <w:rPr>
          <w:rFonts w:hint="eastAsia" w:ascii="CESI黑体-GB2312" w:hAnsi="CESI黑体-GB2312" w:eastAsia="CESI黑体-GB2312" w:cs="CESI黑体-GB2312"/>
          <w:b w:val="0"/>
          <w:bCs w:val="0"/>
          <w:spacing w:val="0"/>
          <w:sz w:val="32"/>
          <w:szCs w:val="32"/>
          <w:lang w:val="en-US" w:eastAsia="zh-CN"/>
        </w:rPr>
        <w:t>3</w:t>
      </w:r>
    </w:p>
    <w:p w14:paraId="4237283C">
      <w:pPr>
        <w:jc w:val="center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继续医学教育项目执行情况抽查评价表</w:t>
      </w:r>
    </w:p>
    <w:p w14:paraId="5D3DC003">
      <w:pPr>
        <w:rPr>
          <w:rFonts w:hint="eastAsia"/>
        </w:rPr>
      </w:pPr>
    </w:p>
    <w:p w14:paraId="471A238B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项目名称：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项目编号：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</w:p>
    <w:p w14:paraId="13AE8B3D">
      <w:pPr>
        <w:rPr>
          <w:rFonts w:hint="eastAsia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期：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</w:p>
    <w:tbl>
      <w:tblPr>
        <w:tblStyle w:val="3"/>
        <w:tblpPr w:leftFromText="180" w:rightFromText="180" w:vertAnchor="text" w:horzAnchor="page" w:tblpX="1408" w:tblpY="44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486"/>
        <w:gridCol w:w="3889"/>
        <w:gridCol w:w="6422"/>
        <w:gridCol w:w="1665"/>
      </w:tblGrid>
      <w:tr w14:paraId="7A5D2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tblHeader/>
        </w:trPr>
        <w:tc>
          <w:tcPr>
            <w:tcW w:w="712" w:type="dxa"/>
            <w:vAlign w:val="center"/>
          </w:tcPr>
          <w:p w14:paraId="7974B5F5">
            <w:pPr>
              <w:jc w:val="center"/>
              <w:rPr>
                <w:rFonts w:hint="eastAsia" w:ascii="CESI黑体-GB2312" w:hAnsi="CESI黑体-GB2312" w:eastAsia="CESI黑体-GB2312" w:cs="CESI黑体-GB2312"/>
                <w:b w:val="0"/>
                <w:bCs w:val="0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 w:val="0"/>
                <w:spacing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86" w:type="dxa"/>
            <w:vAlign w:val="center"/>
          </w:tcPr>
          <w:p w14:paraId="6C5586F8">
            <w:pPr>
              <w:jc w:val="center"/>
              <w:rPr>
                <w:rFonts w:hint="eastAsia" w:ascii="CESI黑体-GB2312" w:hAnsi="CESI黑体-GB2312" w:eastAsia="CESI黑体-GB2312" w:cs="CESI黑体-GB2312"/>
                <w:b w:val="0"/>
                <w:bCs w:val="0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 w:val="0"/>
                <w:spacing w:val="0"/>
                <w:sz w:val="24"/>
                <w:szCs w:val="24"/>
                <w:vertAlign w:val="baseline"/>
                <w:lang w:val="en-US" w:eastAsia="zh-CN"/>
              </w:rPr>
              <w:t>一级指标</w:t>
            </w:r>
          </w:p>
        </w:tc>
        <w:tc>
          <w:tcPr>
            <w:tcW w:w="3889" w:type="dxa"/>
            <w:vAlign w:val="center"/>
          </w:tcPr>
          <w:p w14:paraId="0DC7301E">
            <w:pPr>
              <w:jc w:val="center"/>
              <w:rPr>
                <w:rFonts w:hint="eastAsia" w:ascii="CESI黑体-GB2312" w:hAnsi="CESI黑体-GB2312" w:eastAsia="CESI黑体-GB2312" w:cs="CESI黑体-GB2312"/>
                <w:b w:val="0"/>
                <w:bCs w:val="0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 w:val="0"/>
                <w:spacing w:val="0"/>
                <w:sz w:val="24"/>
                <w:szCs w:val="24"/>
                <w:vertAlign w:val="baseline"/>
                <w:lang w:val="en-US" w:eastAsia="zh-CN"/>
              </w:rPr>
              <w:t>二级指标</w:t>
            </w:r>
          </w:p>
        </w:tc>
        <w:tc>
          <w:tcPr>
            <w:tcW w:w="6422" w:type="dxa"/>
            <w:vAlign w:val="center"/>
          </w:tcPr>
          <w:p w14:paraId="3515B421">
            <w:pPr>
              <w:jc w:val="center"/>
              <w:rPr>
                <w:rFonts w:hint="eastAsia" w:ascii="CESI黑体-GB2312" w:hAnsi="CESI黑体-GB2312" w:eastAsia="CESI黑体-GB2312" w:cs="CESI黑体-GB2312"/>
                <w:b w:val="0"/>
                <w:bCs w:val="0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 w:val="0"/>
                <w:spacing w:val="0"/>
                <w:sz w:val="24"/>
                <w:szCs w:val="24"/>
                <w:vertAlign w:val="baseline"/>
                <w:lang w:val="en-US" w:eastAsia="zh-CN"/>
              </w:rPr>
              <w:t>三级指标</w:t>
            </w:r>
          </w:p>
        </w:tc>
        <w:tc>
          <w:tcPr>
            <w:tcW w:w="1665" w:type="dxa"/>
            <w:vAlign w:val="center"/>
          </w:tcPr>
          <w:p w14:paraId="35FD556C">
            <w:pPr>
              <w:jc w:val="center"/>
              <w:rPr>
                <w:rFonts w:hint="eastAsia" w:ascii="CESI黑体-GB2312" w:hAnsi="CESI黑体-GB2312" w:eastAsia="CESI黑体-GB2312" w:cs="CESI黑体-GB2312"/>
                <w:b w:val="0"/>
                <w:bCs w:val="0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 w:val="0"/>
                <w:spacing w:val="0"/>
                <w:sz w:val="24"/>
                <w:szCs w:val="24"/>
                <w:vertAlign w:val="baseline"/>
                <w:lang w:val="en-US" w:eastAsia="zh-CN"/>
              </w:rPr>
              <w:t>得分</w:t>
            </w:r>
          </w:p>
        </w:tc>
      </w:tr>
      <w:tr w14:paraId="7DA2D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2" w:type="dxa"/>
            <w:vMerge w:val="restart"/>
            <w:vAlign w:val="center"/>
          </w:tcPr>
          <w:p w14:paraId="43A4C3E4">
            <w:pPr>
              <w:jc w:val="center"/>
              <w:rPr>
                <w:rFonts w:hint="default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86" w:type="dxa"/>
            <w:vMerge w:val="restart"/>
            <w:vAlign w:val="center"/>
          </w:tcPr>
          <w:p w14:paraId="461962F1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组织实施</w:t>
            </w:r>
          </w:p>
          <w:p w14:paraId="4F33465A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40分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889" w:type="dxa"/>
            <w:vMerge w:val="restart"/>
            <w:vAlign w:val="center"/>
          </w:tcPr>
          <w:p w14:paraId="7E087B70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培训内容与申报书内容一致性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查看项目申报书、项目举办通知、授课表、日程安排等佐证材料，访谈学员、授课老师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6分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422" w:type="dxa"/>
            <w:vAlign w:val="center"/>
          </w:tcPr>
          <w:p w14:paraId="779215FB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培训主题是否变化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2分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0B4572C8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5CFFB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12" w:type="dxa"/>
            <w:vMerge w:val="continue"/>
            <w:vAlign w:val="center"/>
          </w:tcPr>
          <w:p w14:paraId="60F41F1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2CED9EEC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054663A9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14BB283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授课师资及课程内容是否变化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授课老师、内容和课程总学时变动范围控制在30%以内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2分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3B7E72D7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1B5E2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12" w:type="dxa"/>
            <w:vMerge w:val="continue"/>
            <w:vAlign w:val="center"/>
          </w:tcPr>
          <w:p w14:paraId="3C9BE582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1644F2A1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6D38F659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1FE9AFC2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基层学员招收占比是否达到10%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2分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3304C8BE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60E4D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12" w:type="dxa"/>
            <w:vMerge w:val="continue"/>
            <w:vAlign w:val="center"/>
          </w:tcPr>
          <w:p w14:paraId="562EF26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14186EB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restart"/>
            <w:vAlign w:val="center"/>
          </w:tcPr>
          <w:p w14:paraId="1D0E797A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现场管理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查看相应佐证材料，访谈学员、管理人员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21分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422" w:type="dxa"/>
            <w:vAlign w:val="center"/>
          </w:tcPr>
          <w:p w14:paraId="241E7C20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以半天为一个基本单位进行签入签出管理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5F790F0E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189C0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712" w:type="dxa"/>
            <w:vMerge w:val="continue"/>
            <w:vAlign w:val="center"/>
          </w:tcPr>
          <w:p w14:paraId="7DA07F38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09C8E03E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4A928CB5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10CBC1D6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课堂秩序维护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38C6B173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1887D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12" w:type="dxa"/>
            <w:vMerge w:val="continue"/>
            <w:vAlign w:val="center"/>
          </w:tcPr>
          <w:p w14:paraId="57D64E17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4E7CDD92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514E68CF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7FBFCF34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中途抽查考勤，每半天至少抽查一次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26BC2D09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37E09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9" w:hRule="atLeast"/>
        </w:trPr>
        <w:tc>
          <w:tcPr>
            <w:tcW w:w="712" w:type="dxa"/>
            <w:vMerge w:val="continue"/>
            <w:vAlign w:val="center"/>
          </w:tcPr>
          <w:p w14:paraId="412142E0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1371C3E3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30A21B25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651D4372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培训完成后组织统一考核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00F7DFF1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7C601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12" w:type="dxa"/>
            <w:vMerge w:val="continue"/>
            <w:vAlign w:val="center"/>
          </w:tcPr>
          <w:p w14:paraId="2AE52ED7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7418E81A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105D0D8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2F8DFFE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考核体现学习效果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29B81004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64A50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712" w:type="dxa"/>
            <w:vMerge w:val="continue"/>
            <w:vAlign w:val="center"/>
          </w:tcPr>
          <w:p w14:paraId="62CB5D9A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35407F4C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5FF7A562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03988025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参训人数控制和管理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实际参训人数比照计划培训人数打分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03D7019C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79FFA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712" w:type="dxa"/>
            <w:vMerge w:val="continue"/>
            <w:vAlign w:val="center"/>
          </w:tcPr>
          <w:p w14:paraId="6715670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1AC6B083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35A6289E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06AD16F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主办单位派专人全程跟班管理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6C6D8A37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69C12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12" w:type="dxa"/>
            <w:vMerge w:val="continue"/>
            <w:vAlign w:val="center"/>
          </w:tcPr>
          <w:p w14:paraId="345D7DAF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64BFF612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restart"/>
            <w:vAlign w:val="center"/>
          </w:tcPr>
          <w:p w14:paraId="0EAB4014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培训地点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查看项目举办通知，查询信息平台，访谈学员、管理人员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9分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87" w:type="dxa"/>
            <w:gridSpan w:val="2"/>
            <w:vAlign w:val="center"/>
          </w:tcPr>
          <w:p w14:paraId="450D2BDF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1.是否在风景名胜区或国家明文禁止地举办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</w:tr>
      <w:tr w14:paraId="71DB0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712" w:type="dxa"/>
            <w:vMerge w:val="continue"/>
            <w:vAlign w:val="center"/>
          </w:tcPr>
          <w:p w14:paraId="5413D904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15618A1C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67474416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5EC42723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培训地点是否与申报书填写一致，如不一致是否提前报备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17DABE7C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64F7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12" w:type="dxa"/>
            <w:vMerge w:val="continue"/>
            <w:vAlign w:val="center"/>
          </w:tcPr>
          <w:p w14:paraId="1315363F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6C2246DC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591209F1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71EBCBE1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异地举办项目是否提前在省信息系统完成信息登记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10F493AD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589C7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12" w:type="dxa"/>
            <w:vMerge w:val="continue"/>
            <w:vAlign w:val="center"/>
          </w:tcPr>
          <w:p w14:paraId="3C252AB2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20BBDE85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04294E59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5140AD21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选择的培训场所是否满足培训要求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26BA1D32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098F1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12" w:type="dxa"/>
            <w:vMerge w:val="continue"/>
            <w:vAlign w:val="center"/>
          </w:tcPr>
          <w:p w14:paraId="05115CCC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25DF9491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restart"/>
            <w:vAlign w:val="center"/>
          </w:tcPr>
          <w:p w14:paraId="03968285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培训日程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查看日程安排、经费收支情况等佐证材料，访谈学员、管理人员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4分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87" w:type="dxa"/>
            <w:gridSpan w:val="2"/>
            <w:vAlign w:val="center"/>
          </w:tcPr>
          <w:p w14:paraId="6D9CC418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是否借培训名义组织旅游，或组织与项目无关的参观、考察等活动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</w:tr>
      <w:tr w14:paraId="31ADF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12" w:type="dxa"/>
            <w:vMerge w:val="continue"/>
            <w:vAlign w:val="center"/>
          </w:tcPr>
          <w:p w14:paraId="4D18781B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3110725A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7ED75276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8087" w:type="dxa"/>
            <w:gridSpan w:val="2"/>
            <w:vAlign w:val="center"/>
          </w:tcPr>
          <w:p w14:paraId="1717999C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是否含产品推荐内容、输送利益情况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</w:tr>
      <w:tr w14:paraId="7682A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712" w:type="dxa"/>
            <w:vMerge w:val="continue"/>
            <w:vAlign w:val="center"/>
          </w:tcPr>
          <w:p w14:paraId="7CAF2589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2FBB0A2C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047F63B1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8087" w:type="dxa"/>
            <w:gridSpan w:val="2"/>
            <w:vAlign w:val="center"/>
          </w:tcPr>
          <w:p w14:paraId="4CE145EC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是否存在项目转包、分包谋利，有协办、承办单位的是否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一托了之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”（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</w:tr>
      <w:tr w14:paraId="010EC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12" w:type="dxa"/>
            <w:vMerge w:val="continue"/>
            <w:vAlign w:val="center"/>
          </w:tcPr>
          <w:p w14:paraId="002997F9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5F5963DA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6AA54014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64CC275E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培训日程安排紧凑合理，严肃培训纪律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4分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71C33D2B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7F679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12" w:type="dxa"/>
            <w:vMerge w:val="restart"/>
            <w:vAlign w:val="center"/>
          </w:tcPr>
          <w:p w14:paraId="26EA53F2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86" w:type="dxa"/>
            <w:vMerge w:val="restart"/>
            <w:vAlign w:val="center"/>
          </w:tcPr>
          <w:p w14:paraId="1621BFC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学分登记</w:t>
            </w:r>
          </w:p>
          <w:p w14:paraId="49121CEA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和管理</w:t>
            </w:r>
          </w:p>
          <w:p w14:paraId="2797766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10分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889" w:type="dxa"/>
            <w:vMerge w:val="restart"/>
            <w:vAlign w:val="center"/>
          </w:tcPr>
          <w:p w14:paraId="2A7AB0CC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学分授予符合规定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查看相应佐证材料，查询信息平台，访谈学员、管理人员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10分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422" w:type="dxa"/>
            <w:vAlign w:val="center"/>
          </w:tcPr>
          <w:p w14:paraId="7EB2C930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授课时长与学分核算符合学分授予标准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5分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65EBA4FA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28868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712" w:type="dxa"/>
            <w:vMerge w:val="continue"/>
            <w:vAlign w:val="center"/>
          </w:tcPr>
          <w:p w14:paraId="732A5F06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3300228E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01255692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6B0AB906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按要求做好项目编号、项目名称、举办日期、形式、学分数、考核结果等信息登记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5分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54F7D18B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5AB1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12" w:type="dxa"/>
            <w:vMerge w:val="restart"/>
            <w:vAlign w:val="center"/>
          </w:tcPr>
          <w:p w14:paraId="53514446">
            <w:pPr>
              <w:jc w:val="center"/>
              <w:rPr>
                <w:rFonts w:hint="default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86" w:type="dxa"/>
            <w:vMerge w:val="restart"/>
            <w:vAlign w:val="center"/>
          </w:tcPr>
          <w:p w14:paraId="6451E658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经费管理</w:t>
            </w:r>
          </w:p>
          <w:p w14:paraId="71F4D62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20分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889" w:type="dxa"/>
            <w:vMerge w:val="restart"/>
            <w:vAlign w:val="center"/>
          </w:tcPr>
          <w:p w14:paraId="32BC175B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培训收费、经费支出符合规定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查询收费项目明细、收费标准等佐证材料，访谈学员、管理人员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20分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087" w:type="dxa"/>
            <w:gridSpan w:val="2"/>
            <w:vAlign w:val="center"/>
          </w:tcPr>
          <w:p w14:paraId="63FD12E0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1.各级卫生健康行政部门直接举办的继续医学教育活动是否收取费用（*）</w:t>
            </w:r>
          </w:p>
        </w:tc>
      </w:tr>
      <w:tr w14:paraId="71338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12" w:type="dxa"/>
            <w:vMerge w:val="continue"/>
            <w:vAlign w:val="center"/>
          </w:tcPr>
          <w:p w14:paraId="7A54DB57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2AC816E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4E7C4F3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8087" w:type="dxa"/>
            <w:gridSpan w:val="2"/>
            <w:vAlign w:val="center"/>
          </w:tcPr>
          <w:p w14:paraId="752AA495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2.是否存在乱收费或只收费不培训（*）</w:t>
            </w:r>
          </w:p>
        </w:tc>
      </w:tr>
      <w:tr w14:paraId="465C2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12" w:type="dxa"/>
            <w:vMerge w:val="continue"/>
            <w:vAlign w:val="center"/>
          </w:tcPr>
          <w:p w14:paraId="5A7E051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5F961352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6BDE2C9E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8087" w:type="dxa"/>
            <w:gridSpan w:val="2"/>
            <w:vAlign w:val="center"/>
          </w:tcPr>
          <w:p w14:paraId="51BE4F37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3.由个人承担全部或大部分费用的继续医学教育活动，是否被指定教育培训机构（*）</w:t>
            </w:r>
          </w:p>
        </w:tc>
      </w:tr>
      <w:tr w14:paraId="10E0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12" w:type="dxa"/>
            <w:vMerge w:val="continue"/>
            <w:vAlign w:val="center"/>
          </w:tcPr>
          <w:p w14:paraId="1242681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12CC07BC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2C6E95B0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7E35CB82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4.项目举办突出公益性（5分）</w:t>
            </w:r>
          </w:p>
        </w:tc>
        <w:tc>
          <w:tcPr>
            <w:tcW w:w="1665" w:type="dxa"/>
            <w:vAlign w:val="top"/>
          </w:tcPr>
          <w:p w14:paraId="2DA0859D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5213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12" w:type="dxa"/>
            <w:vMerge w:val="continue"/>
            <w:vAlign w:val="center"/>
          </w:tcPr>
          <w:p w14:paraId="7040E7F0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05D6C079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3256468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6AE88F89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5.落实中央八项规定及其实施细则精神，厉行节约、勤俭办学（5分）</w:t>
            </w:r>
          </w:p>
        </w:tc>
        <w:tc>
          <w:tcPr>
            <w:tcW w:w="1665" w:type="dxa"/>
            <w:vAlign w:val="top"/>
          </w:tcPr>
          <w:p w14:paraId="2D4871F4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6B2FA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12" w:type="dxa"/>
            <w:vMerge w:val="continue"/>
            <w:vAlign w:val="center"/>
          </w:tcPr>
          <w:p w14:paraId="47C6B0A2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55DFC5C7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54BB0C02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7D19593C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6.是否存在超范围、超标准支出（10分）</w:t>
            </w:r>
          </w:p>
        </w:tc>
        <w:tc>
          <w:tcPr>
            <w:tcW w:w="1665" w:type="dxa"/>
            <w:vAlign w:val="top"/>
          </w:tcPr>
          <w:p w14:paraId="2CBEA158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6B508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12" w:type="dxa"/>
            <w:vMerge w:val="restart"/>
            <w:vAlign w:val="center"/>
          </w:tcPr>
          <w:p w14:paraId="430628DB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86" w:type="dxa"/>
            <w:vMerge w:val="restart"/>
            <w:vAlign w:val="center"/>
          </w:tcPr>
          <w:p w14:paraId="71C8DE14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培训质量</w:t>
            </w:r>
          </w:p>
          <w:p w14:paraId="0839F17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和效果</w:t>
            </w:r>
          </w:p>
          <w:p w14:paraId="2CC9775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30分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889" w:type="dxa"/>
            <w:vMerge w:val="restart"/>
            <w:vAlign w:val="center"/>
          </w:tcPr>
          <w:p w14:paraId="3047E613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培训达到预期效果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查看项目申报书、问卷调查结果，访谈学员、授课老师、管理人员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422" w:type="dxa"/>
            <w:vAlign w:val="center"/>
          </w:tcPr>
          <w:p w14:paraId="11CB2482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培训形式和内容符合申报书中教学方法、教学设计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5分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7ADB601A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51BAF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12" w:type="dxa"/>
            <w:vMerge w:val="continue"/>
            <w:vAlign w:val="center"/>
          </w:tcPr>
          <w:p w14:paraId="6E55EE23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1BFDB829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0C355A1B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3D11DA77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2.师生课堂互动良好，安排现场答疑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5分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19BB2A48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33D41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12" w:type="dxa"/>
            <w:vMerge w:val="continue"/>
            <w:vAlign w:val="center"/>
          </w:tcPr>
          <w:p w14:paraId="2B4F64E0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493ED4E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432295FF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2503704E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3.按照培训日程安排认真完成培训任务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5分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0FF6EC88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39A9A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12" w:type="dxa"/>
            <w:vMerge w:val="continue"/>
            <w:vAlign w:val="center"/>
          </w:tcPr>
          <w:p w14:paraId="5C047A25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6980918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046D7313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686DB048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4.建立培训学员至少两种及以上畅通的投诉反馈渠道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5分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5B251849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69823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12" w:type="dxa"/>
            <w:vMerge w:val="continue"/>
            <w:vAlign w:val="center"/>
          </w:tcPr>
          <w:p w14:paraId="3824AEE4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  <w:tc>
          <w:tcPr>
            <w:tcW w:w="1486" w:type="dxa"/>
            <w:vMerge w:val="continue"/>
            <w:vAlign w:val="center"/>
          </w:tcPr>
          <w:p w14:paraId="40C02706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3889" w:type="dxa"/>
            <w:vMerge w:val="continue"/>
            <w:vAlign w:val="center"/>
          </w:tcPr>
          <w:p w14:paraId="27A26B5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</w:p>
        </w:tc>
        <w:tc>
          <w:tcPr>
            <w:tcW w:w="6422" w:type="dxa"/>
            <w:vAlign w:val="center"/>
          </w:tcPr>
          <w:p w14:paraId="647576BD">
            <w:pPr>
              <w:jc w:val="both"/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5.满意度调查结果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</w:rPr>
              <w:t>10分</w:t>
            </w:r>
            <w:r>
              <w:rPr>
                <w:rFonts w:hint="eastAsia" w:ascii="仿宋" w:hAnsi="仿宋" w:eastAsia="仿宋" w:cs="仿宋"/>
                <w:spacing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65" w:type="dxa"/>
            <w:vAlign w:val="top"/>
          </w:tcPr>
          <w:p w14:paraId="13B1F3EF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  <w:tr w14:paraId="32397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2509" w:type="dxa"/>
            <w:gridSpan w:val="4"/>
            <w:vAlign w:val="center"/>
          </w:tcPr>
          <w:p w14:paraId="07639B6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b w:val="0"/>
                <w:bCs w:val="0"/>
                <w:spacing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665" w:type="dxa"/>
            <w:vAlign w:val="top"/>
          </w:tcPr>
          <w:p w14:paraId="77913F23">
            <w:pPr>
              <w:jc w:val="left"/>
              <w:rPr>
                <w:rFonts w:hint="eastAsia" w:ascii="仿宋" w:hAnsi="仿宋" w:eastAsia="仿宋" w:cs="仿宋"/>
                <w:spacing w:val="0"/>
                <w:sz w:val="24"/>
                <w:szCs w:val="24"/>
                <w:vertAlign w:val="baseline"/>
              </w:rPr>
            </w:pPr>
          </w:p>
        </w:tc>
      </w:tr>
    </w:tbl>
    <w:p w14:paraId="178FC428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注：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“</w:t>
      </w:r>
      <w:r>
        <w:rPr>
          <w:rFonts w:hint="eastAsia" w:ascii="仿宋" w:hAnsi="仿宋" w:eastAsia="仿宋" w:cs="仿宋"/>
          <w:sz w:val="30"/>
          <w:szCs w:val="30"/>
        </w:rPr>
        <w:t>*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”</w:t>
      </w:r>
      <w:r>
        <w:rPr>
          <w:rFonts w:hint="eastAsia" w:ascii="仿宋" w:hAnsi="仿宋" w:eastAsia="仿宋" w:cs="仿宋"/>
          <w:sz w:val="30"/>
          <w:szCs w:val="30"/>
        </w:rPr>
        <w:t>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“</w:t>
      </w:r>
      <w:r>
        <w:rPr>
          <w:rFonts w:hint="eastAsia" w:ascii="仿宋" w:hAnsi="仿宋" w:eastAsia="仿宋" w:cs="仿宋"/>
          <w:sz w:val="30"/>
          <w:szCs w:val="30"/>
        </w:rPr>
        <w:t>一票否决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”</w:t>
      </w:r>
      <w:r>
        <w:rPr>
          <w:rFonts w:hint="eastAsia" w:ascii="仿宋" w:hAnsi="仿宋" w:eastAsia="仿宋" w:cs="仿宋"/>
          <w:sz w:val="30"/>
          <w:szCs w:val="30"/>
        </w:rPr>
        <w:t>项，若出现则直接认定为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“</w:t>
      </w:r>
      <w:r>
        <w:rPr>
          <w:rFonts w:hint="eastAsia" w:ascii="仿宋" w:hAnsi="仿宋" w:eastAsia="仿宋" w:cs="仿宋"/>
          <w:sz w:val="30"/>
          <w:szCs w:val="30"/>
        </w:rPr>
        <w:t>不合格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”</w:t>
      </w:r>
      <w:r>
        <w:rPr>
          <w:rFonts w:hint="eastAsia" w:ascii="仿宋" w:hAnsi="仿宋" w:eastAsia="仿宋" w:cs="仿宋"/>
          <w:sz w:val="30"/>
          <w:szCs w:val="30"/>
        </w:rPr>
        <w:t>,不再评分。</w:t>
      </w:r>
    </w:p>
    <w:p w14:paraId="68456D2C">
      <w:pPr>
        <w:rPr>
          <w:rFonts w:hint="eastAsia"/>
        </w:rPr>
      </w:pPr>
    </w:p>
    <w:sectPr>
      <w:pgSz w:w="16838" w:h="11906" w:orient="landscape"/>
      <w:pgMar w:top="1633" w:right="1440" w:bottom="123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40000" w:csb1="00000000"/>
  </w:font>
  <w:font w:name="国标宋体-GB/T 2312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2B1F"/>
    <w:rsid w:val="00F674AF"/>
    <w:rsid w:val="1127093F"/>
    <w:rsid w:val="199C5516"/>
    <w:rsid w:val="1E8310D0"/>
    <w:rsid w:val="21C43865"/>
    <w:rsid w:val="2ED74F87"/>
    <w:rsid w:val="374D3164"/>
    <w:rsid w:val="3A3D3632"/>
    <w:rsid w:val="442E309D"/>
    <w:rsid w:val="471C0020"/>
    <w:rsid w:val="5CD3746D"/>
    <w:rsid w:val="5F7B286D"/>
    <w:rsid w:val="9E99AC7A"/>
    <w:rsid w:val="DBD78CC3"/>
    <w:rsid w:val="FBF709C4"/>
    <w:rsid w:val="FE116E69"/>
    <w:rsid w:val="FEDB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1101</Words>
  <Characters>1202</Characters>
  <Lines>0</Lines>
  <Paragraphs>0</Paragraphs>
  <TotalTime>33</TotalTime>
  <ScaleCrop>false</ScaleCrop>
  <LinksUpToDate>false</LinksUpToDate>
  <CharactersWithSpaces>1308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2026-05-09T17:19:00Z</dcterms:created>
  <dc:creator>张月</dc:creator>
  <cp:lastModifiedBy>user</cp:lastModifiedBy>
  <dcterms:modified xsi:type="dcterms:W3CDTF">2026-05-09T21:27:26Z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KSOTemplateDocerSaveRecord">
    <vt:lpwstr>eyJoZGlkIjoiMWY4YzViYmZmYjk4OWRlZGJlYWJjNTM5OGY5YWQxNDMiLCJ1c2VySWQiOiI1NjY5MzAwNjAifQ==</vt:lpwstr>
  </property>
  <property fmtid="{D5CDD505-2E9C-101B-9397-08002B2CF9AE}" pid="4" name="ICV">
    <vt:lpwstr>FC28F1DE319544E581607397164B4DA6_12</vt:lpwstr>
  </property>
</Properties>
</file>